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240" w:lineRule="auto"/>
        <w:ind w:firstLine="1080" w:firstLineChars="300"/>
        <w:jc w:val="center"/>
        <w:rPr>
          <w:rFonts w:ascii="黑体" w:hAnsi="宋体" w:eastAsia="黑体" w:cs="宋体"/>
          <w:kern w:val="0"/>
          <w:sz w:val="36"/>
          <w:szCs w:val="36"/>
        </w:rPr>
      </w:pPr>
      <w:r>
        <w:rPr>
          <w:rFonts w:hint="eastAsia" w:ascii="黑体" w:hAnsi="宋体" w:eastAsia="黑体" w:cs="宋体"/>
          <w:kern w:val="0"/>
          <w:sz w:val="36"/>
          <w:szCs w:val="36"/>
        </w:rPr>
        <w:t>单一来源采购单位内部会商意见表（二）</w:t>
      </w:r>
    </w:p>
    <w:p>
      <w:pPr>
        <w:wordWrap w:val="0"/>
        <w:adjustRightInd w:val="0"/>
        <w:snapToGrid w:val="0"/>
        <w:spacing w:line="240" w:lineRule="auto"/>
        <w:ind w:firstLine="720" w:firstLineChars="300"/>
        <w:jc w:val="right"/>
        <w:rPr>
          <w:rFonts w:ascii="Times New Roman" w:hAnsi="Times New Roman"/>
          <w:sz w:val="24"/>
        </w:rPr>
      </w:pPr>
      <w:r>
        <w:rPr>
          <w:rFonts w:hint="eastAsia" w:ascii="Times New Roman" w:hAnsi="Times New Roman"/>
          <w:sz w:val="24"/>
        </w:rPr>
        <w:t>填表日期：   年</w:t>
      </w:r>
      <w:r>
        <w:rPr>
          <w:rFonts w:ascii="Times New Roman" w:hAnsi="Times New Roman"/>
          <w:sz w:val="24"/>
        </w:rPr>
        <w:t xml:space="preserve">  </w:t>
      </w:r>
      <w:r>
        <w:rPr>
          <w:rFonts w:hint="eastAsia" w:ascii="Times New Roman" w:hAnsi="Times New Roman"/>
          <w:sz w:val="24"/>
        </w:rPr>
        <w:t>月</w:t>
      </w:r>
      <w:r>
        <w:rPr>
          <w:rFonts w:ascii="Times New Roman" w:hAnsi="Times New Roman"/>
          <w:sz w:val="24"/>
        </w:rPr>
        <w:t xml:space="preserve">   </w:t>
      </w:r>
      <w:r>
        <w:rPr>
          <w:rFonts w:hint="eastAsia" w:ascii="Times New Roman" w:hAnsi="Times New Roman"/>
          <w:sz w:val="24"/>
        </w:rPr>
        <w:t>日</w:t>
      </w:r>
    </w:p>
    <w:tbl>
      <w:tblPr>
        <w:tblStyle w:val="5"/>
        <w:tblW w:w="9371" w:type="dxa"/>
        <w:jc w:val="center"/>
        <w:tblInd w:w="-421" w:type="dxa"/>
        <w:tblLayout w:type="fixed"/>
        <w:tblCellMar>
          <w:top w:w="0" w:type="dxa"/>
          <w:left w:w="108" w:type="dxa"/>
          <w:bottom w:w="0" w:type="dxa"/>
          <w:right w:w="108" w:type="dxa"/>
        </w:tblCellMar>
      </w:tblPr>
      <w:tblGrid>
        <w:gridCol w:w="4106"/>
        <w:gridCol w:w="5265"/>
      </w:tblGrid>
      <w:tr>
        <w:tblPrEx>
          <w:tblLayout w:type="fixed"/>
        </w:tblPrEx>
        <w:trPr>
          <w:trHeight w:val="402" w:hRule="atLeast"/>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黑体" w:hAnsi="宋体" w:eastAsia="黑体" w:cs="宋体"/>
                <w:kern w:val="0"/>
                <w:sz w:val="24"/>
              </w:rPr>
            </w:pPr>
            <w:r>
              <w:rPr>
                <w:rFonts w:hint="eastAsia" w:ascii="黑体" w:hAnsi="宋体" w:eastAsia="黑体" w:cs="宋体"/>
                <w:kern w:val="0"/>
                <w:sz w:val="24"/>
              </w:rPr>
              <w:t>中央预算单位</w:t>
            </w:r>
          </w:p>
        </w:tc>
        <w:tc>
          <w:tcPr>
            <w:tcW w:w="526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4"/>
              </w:rPr>
            </w:pPr>
            <w:r>
              <w:rPr>
                <w:rFonts w:hint="eastAsia" w:ascii="宋体" w:hAnsi="宋体" w:cs="宋体"/>
                <w:kern w:val="0"/>
                <w:sz w:val="24"/>
              </w:rPr>
              <w:t>中国科学院高能物理研究所</w:t>
            </w:r>
          </w:p>
        </w:tc>
      </w:tr>
      <w:tr>
        <w:tblPrEx>
          <w:tblLayout w:type="fixed"/>
        </w:tblPrEx>
        <w:trPr>
          <w:trHeight w:val="402" w:hRule="atLeast"/>
          <w:jc w:val="center"/>
        </w:trPr>
        <w:tc>
          <w:tcPr>
            <w:tcW w:w="4106"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黑体" w:hAnsi="宋体" w:eastAsia="黑体" w:cs="宋体"/>
                <w:kern w:val="0"/>
                <w:sz w:val="24"/>
              </w:rPr>
            </w:pPr>
            <w:r>
              <w:rPr>
                <w:rFonts w:hint="eastAsia" w:ascii="黑体" w:hAnsi="宋体" w:eastAsia="黑体" w:cs="宋体"/>
                <w:kern w:val="0"/>
                <w:sz w:val="24"/>
              </w:rPr>
              <w:t>采购项目名称</w:t>
            </w:r>
          </w:p>
        </w:tc>
        <w:tc>
          <w:tcPr>
            <w:tcW w:w="526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4"/>
              </w:rPr>
            </w:pPr>
            <w:r>
              <w:rPr>
                <w:rFonts w:hint="eastAsia" w:ascii="宋体" w:hAnsi="宋体" w:cs="宋体"/>
                <w:kern w:val="0"/>
                <w:sz w:val="24"/>
              </w:rPr>
              <w:t>BEPCII脉冲压缩器</w:t>
            </w:r>
          </w:p>
        </w:tc>
      </w:tr>
      <w:tr>
        <w:tblPrEx>
          <w:tblLayout w:type="fixed"/>
        </w:tblPrEx>
        <w:trPr>
          <w:trHeight w:val="402" w:hRule="atLeast"/>
          <w:jc w:val="center"/>
        </w:trPr>
        <w:tc>
          <w:tcPr>
            <w:tcW w:w="4106"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黑体" w:hAnsi="宋体" w:eastAsia="黑体" w:cs="宋体"/>
                <w:kern w:val="0"/>
                <w:sz w:val="24"/>
              </w:rPr>
            </w:pPr>
            <w:r>
              <w:rPr>
                <w:rFonts w:hint="eastAsia" w:ascii="黑体" w:hAnsi="宋体" w:eastAsia="黑体" w:cs="宋体"/>
                <w:kern w:val="0"/>
                <w:sz w:val="24"/>
              </w:rPr>
              <w:t>采购项目预算（万元）</w:t>
            </w:r>
          </w:p>
        </w:tc>
        <w:tc>
          <w:tcPr>
            <w:tcW w:w="526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4"/>
              </w:rPr>
            </w:pPr>
            <w:r>
              <w:rPr>
                <w:rFonts w:hint="eastAsia" w:ascii="宋体" w:hAnsi="宋体" w:cs="宋体"/>
                <w:kern w:val="0"/>
                <w:sz w:val="24"/>
              </w:rPr>
              <w:t>1226</w:t>
            </w:r>
            <w:r>
              <w:rPr>
                <w:rFonts w:ascii="宋体" w:hAnsi="宋体" w:cs="宋体"/>
                <w:kern w:val="0"/>
                <w:sz w:val="24"/>
              </w:rPr>
              <w:t>00</w:t>
            </w:r>
            <w:r>
              <w:rPr>
                <w:rFonts w:hint="eastAsia" w:ascii="宋体" w:hAnsi="宋体" w:cs="宋体"/>
                <w:kern w:val="0"/>
                <w:sz w:val="24"/>
              </w:rPr>
              <w:t>0元</w:t>
            </w:r>
          </w:p>
        </w:tc>
      </w:tr>
      <w:tr>
        <w:tblPrEx>
          <w:tblLayout w:type="fixed"/>
        </w:tblPrEx>
        <w:trPr>
          <w:trHeight w:val="402" w:hRule="atLeast"/>
          <w:jc w:val="center"/>
        </w:trPr>
        <w:tc>
          <w:tcPr>
            <w:tcW w:w="4106"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黑体" w:hAnsi="宋体" w:eastAsia="黑体" w:cs="宋体"/>
                <w:kern w:val="0"/>
                <w:sz w:val="24"/>
              </w:rPr>
            </w:pPr>
            <w:r>
              <w:rPr>
                <w:rFonts w:hint="eastAsia" w:ascii="黑体" w:hAnsi="宋体" w:eastAsia="黑体" w:cs="宋体"/>
                <w:kern w:val="0"/>
                <w:sz w:val="24"/>
              </w:rPr>
              <w:t>拟采用采购方式</w:t>
            </w:r>
          </w:p>
        </w:tc>
        <w:tc>
          <w:tcPr>
            <w:tcW w:w="526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4"/>
              </w:rPr>
            </w:pPr>
            <w:r>
              <w:rPr>
                <w:rFonts w:hint="eastAsia" w:ascii="宋体" w:hAnsi="宋体" w:cs="宋体"/>
                <w:kern w:val="0"/>
                <w:sz w:val="24"/>
              </w:rPr>
              <w:t>单一来源采购</w:t>
            </w:r>
          </w:p>
        </w:tc>
      </w:tr>
      <w:tr>
        <w:tblPrEx>
          <w:tblLayout w:type="fixed"/>
        </w:tblPrEx>
        <w:trPr>
          <w:trHeight w:val="469" w:hRule="atLeast"/>
          <w:jc w:val="center"/>
        </w:trPr>
        <w:tc>
          <w:tcPr>
            <w:tcW w:w="4106" w:type="dxa"/>
            <w:tcBorders>
              <w:top w:val="nil"/>
              <w:left w:val="single" w:color="auto" w:sz="4" w:space="0"/>
              <w:bottom w:val="nil"/>
              <w:right w:val="nil"/>
            </w:tcBorders>
            <w:vAlign w:val="center"/>
          </w:tcPr>
          <w:p>
            <w:pPr>
              <w:widowControl/>
              <w:spacing w:line="240" w:lineRule="auto"/>
              <w:ind w:firstLine="0" w:firstLineChars="0"/>
              <w:jc w:val="left"/>
              <w:rPr>
                <w:rFonts w:ascii="黑体" w:hAnsi="宋体" w:eastAsia="黑体" w:cs="宋体"/>
                <w:kern w:val="0"/>
                <w:sz w:val="24"/>
              </w:rPr>
            </w:pPr>
            <w:r>
              <w:rPr>
                <w:rFonts w:hint="eastAsia" w:ascii="黑体" w:hAnsi="宋体" w:eastAsia="黑体" w:cs="宋体"/>
                <w:kern w:val="0"/>
                <w:sz w:val="24"/>
              </w:rPr>
              <w:t>单位内部会商意见</w:t>
            </w:r>
          </w:p>
        </w:tc>
        <w:tc>
          <w:tcPr>
            <w:tcW w:w="5265" w:type="dxa"/>
            <w:tcBorders>
              <w:top w:val="nil"/>
              <w:left w:val="nil"/>
              <w:bottom w:val="nil"/>
              <w:right w:val="single" w:color="auto" w:sz="4" w:space="0"/>
            </w:tcBorders>
            <w:vAlign w:val="center"/>
          </w:tcPr>
          <w:p>
            <w:pPr>
              <w:widowControl/>
              <w:spacing w:line="240" w:lineRule="auto"/>
              <w:ind w:firstLine="0" w:firstLineChars="0"/>
              <w:jc w:val="left"/>
              <w:rPr>
                <w:rFonts w:ascii="宋体" w:hAnsi="宋体" w:cs="宋体"/>
                <w:kern w:val="0"/>
                <w:sz w:val="24"/>
              </w:rPr>
            </w:pPr>
          </w:p>
        </w:tc>
      </w:tr>
      <w:tr>
        <w:tblPrEx>
          <w:tblLayout w:type="fixed"/>
        </w:tblPrEx>
        <w:trPr>
          <w:trHeight w:val="4996" w:hRule="atLeast"/>
          <w:jc w:val="center"/>
        </w:trPr>
        <w:tc>
          <w:tcPr>
            <w:tcW w:w="9371" w:type="dxa"/>
            <w:gridSpan w:val="2"/>
            <w:tcBorders>
              <w:top w:val="nil"/>
              <w:left w:val="single" w:color="auto" w:sz="4" w:space="0"/>
              <w:bottom w:val="single" w:color="auto" w:sz="4" w:space="0"/>
              <w:right w:val="single" w:color="auto" w:sz="4" w:space="0"/>
            </w:tcBorders>
          </w:tcPr>
          <w:p>
            <w:pPr>
              <w:snapToGrid w:val="0"/>
              <w:spacing w:after="156" w:afterLines="50" w:line="240" w:lineRule="auto"/>
              <w:ind w:firstLine="480"/>
              <w:jc w:val="left"/>
              <w:rPr>
                <w:rFonts w:ascii="仿宋" w:hAnsi="仿宋" w:eastAsia="仿宋" w:cs="仿宋_GB2312"/>
                <w:sz w:val="24"/>
              </w:rPr>
            </w:pPr>
            <w:r>
              <w:rPr>
                <w:rFonts w:hint="eastAsia" w:ascii="仿宋" w:hAnsi="仿宋" w:eastAsia="仿宋" w:cs="仿宋_GB2312"/>
                <w:sz w:val="24"/>
              </w:rPr>
              <w:t>目前</w:t>
            </w:r>
            <w:r>
              <w:rPr>
                <w:rFonts w:ascii="仿宋" w:hAnsi="仿宋" w:eastAsia="仿宋" w:cs="仿宋_GB2312"/>
                <w:sz w:val="24"/>
              </w:rPr>
              <w:t>采购</w:t>
            </w:r>
            <w:r>
              <w:rPr>
                <w:rFonts w:hint="eastAsia" w:ascii="仿宋" w:hAnsi="仿宋" w:eastAsia="仿宋" w:cs="仿宋_GB2312"/>
                <w:sz w:val="24"/>
              </w:rPr>
              <w:t>需求</w:t>
            </w:r>
            <w:r>
              <w:rPr>
                <w:rFonts w:ascii="仿宋" w:hAnsi="仿宋" w:eastAsia="仿宋" w:cs="仿宋_GB2312"/>
                <w:sz w:val="24"/>
              </w:rPr>
              <w:t>和市场调研</w:t>
            </w:r>
            <w:r>
              <w:rPr>
                <w:rFonts w:hint="eastAsia" w:ascii="仿宋" w:hAnsi="仿宋" w:eastAsia="仿宋" w:cs="仿宋_GB2312"/>
                <w:sz w:val="24"/>
              </w:rPr>
              <w:t>情况</w:t>
            </w:r>
            <w:r>
              <w:rPr>
                <w:rFonts w:ascii="仿宋" w:hAnsi="仿宋" w:eastAsia="仿宋" w:cs="仿宋_GB2312"/>
                <w:sz w:val="24"/>
              </w:rPr>
              <w:t>如下：</w:t>
            </w:r>
          </w:p>
          <w:p>
            <w:pPr>
              <w:snapToGrid w:val="0"/>
              <w:spacing w:after="156" w:afterLines="50" w:line="240" w:lineRule="auto"/>
              <w:ind w:firstLine="480"/>
              <w:jc w:val="left"/>
              <w:rPr>
                <w:rFonts w:ascii="仿宋" w:hAnsi="仿宋" w:eastAsia="仿宋" w:cs="仿宋_GB2312"/>
                <w:sz w:val="24"/>
              </w:rPr>
            </w:pPr>
            <w:r>
              <w:rPr>
                <w:rFonts w:hint="eastAsia" w:ascii="仿宋" w:hAnsi="仿宋" w:eastAsia="仿宋" w:cs="仿宋_GB2312"/>
                <w:sz w:val="24"/>
              </w:rPr>
              <w:t>脉冲压缩器是北京正负电子对撞机（BEPCII）直线加速器的核心微波器件,用来提升馈入加速管的峰值功率从而提升加速梯度。为了满足直线稳定运行和升能需求,本次一共需要采购5套用于2024年暑期维护改造</w:t>
            </w:r>
            <w:r>
              <w:rPr>
                <w:rFonts w:hint="eastAsia" w:ascii="仿宋" w:hAnsi="仿宋" w:eastAsia="仿宋" w:cs="仿宋_GB2312"/>
                <w:sz w:val="24"/>
                <w:lang w:eastAsia="zh-CN"/>
              </w:rPr>
              <w:t>，其中3套为BEPCII年度例行维护改造用于替换老旧脉冲压缩器，另外2套用于BII-U直线能量升级。</w:t>
            </w:r>
            <w:bookmarkStart w:id="0" w:name="_GoBack"/>
            <w:bookmarkEnd w:id="0"/>
          </w:p>
          <w:p>
            <w:pPr>
              <w:snapToGrid w:val="0"/>
              <w:spacing w:after="156" w:afterLines="50" w:line="240" w:lineRule="auto"/>
              <w:ind w:firstLine="480"/>
              <w:jc w:val="left"/>
              <w:rPr>
                <w:rFonts w:ascii="仿宋" w:hAnsi="仿宋" w:eastAsia="仿宋" w:cs="仿宋_GB2312"/>
                <w:sz w:val="24"/>
              </w:rPr>
            </w:pPr>
            <w:r>
              <w:rPr>
                <w:rFonts w:hint="eastAsia" w:ascii="仿宋" w:hAnsi="仿宋" w:eastAsia="仿宋" w:cs="仿宋_GB2312"/>
                <w:sz w:val="24"/>
              </w:rPr>
              <w:t>脉冲压缩器具有加工精度高、调试难度大、焊接次数多和解谐结构复杂等特点, 同时需要配合BEPCII现有微波系统布局、 冷却水路和支架等。BEPCII脉冲压缩器更新改造2021和2022年分别采购了三套，其中2021年发布招标公告只有两家应标导致流标，最终采用竞争性磋商采购,湖北汉光科技股份有限公司价格更便宜,2022年发布竞争性磋商公告，最终只有湖北汉光科技股份有限公司一家参与导致无法磋商,最终采用单一来源。据调研目前S波段2856MHz双腔结构的脉冲压缩器只有湖北汉光科技股份有限公司可提供产品销售并具有在大科学装置中应用的经历，其长期和我所保持良好合作关系， BEPC，BEPCII和HEPS脉冲压缩器均由其提供，价格合理，信誉可靠。</w:t>
            </w:r>
          </w:p>
          <w:p>
            <w:pPr>
              <w:snapToGrid w:val="0"/>
              <w:spacing w:after="156" w:afterLines="50" w:line="240" w:lineRule="auto"/>
              <w:ind w:firstLine="480"/>
              <w:jc w:val="left"/>
              <w:rPr>
                <w:rFonts w:ascii="仿宋" w:hAnsi="仿宋" w:eastAsia="仿宋" w:cs="仿宋_GB2312"/>
                <w:sz w:val="24"/>
              </w:rPr>
            </w:pPr>
            <w:r>
              <w:rPr>
                <w:rFonts w:hint="eastAsia" w:ascii="仿宋" w:hAnsi="仿宋" w:eastAsia="仿宋" w:cs="仿宋_GB2312"/>
                <w:sz w:val="24"/>
              </w:rPr>
              <w:t>采购人提供了</w:t>
            </w:r>
            <w:r>
              <w:rPr>
                <w:rFonts w:ascii="仿宋" w:hAnsi="仿宋" w:eastAsia="仿宋" w:cs="仿宋_GB2312"/>
                <w:sz w:val="24"/>
              </w:rPr>
              <w:t>报价清单。</w:t>
            </w:r>
          </w:p>
          <w:p>
            <w:pPr>
              <w:snapToGrid w:val="0"/>
              <w:spacing w:after="156" w:afterLines="50" w:line="240" w:lineRule="auto"/>
              <w:ind w:firstLine="480"/>
              <w:jc w:val="left"/>
              <w:rPr>
                <w:rFonts w:ascii="仿宋" w:hAnsi="仿宋" w:eastAsia="仿宋" w:cs="仿宋_GB2312"/>
                <w:szCs w:val="28"/>
              </w:rPr>
            </w:pPr>
            <w:r>
              <w:rPr>
                <w:rFonts w:hint="eastAsia" w:ascii="仿宋" w:hAnsi="仿宋" w:eastAsia="仿宋" w:cs="仿宋_GB2312"/>
                <w:sz w:val="24"/>
              </w:rPr>
              <w:t>根据</w:t>
            </w:r>
            <w:r>
              <w:rPr>
                <w:rFonts w:ascii="仿宋" w:hAnsi="仿宋" w:eastAsia="仿宋" w:cs="仿宋_GB2312"/>
                <w:sz w:val="24"/>
              </w:rPr>
              <w:t>上述情况</w:t>
            </w:r>
            <w:r>
              <w:rPr>
                <w:rFonts w:hint="eastAsia" w:ascii="仿宋" w:hAnsi="仿宋" w:eastAsia="仿宋" w:cs="仿宋_GB2312"/>
                <w:sz w:val="24"/>
              </w:rPr>
              <w:t>，</w:t>
            </w:r>
            <w:r>
              <w:rPr>
                <w:rFonts w:ascii="仿宋" w:hAnsi="仿宋" w:eastAsia="仿宋" w:cs="仿宋_GB2312"/>
                <w:sz w:val="24"/>
              </w:rPr>
              <w:t>同意本项目以单一来源形式从</w:t>
            </w:r>
            <w:r>
              <w:rPr>
                <w:rFonts w:hint="eastAsia" w:ascii="仿宋" w:hAnsi="仿宋" w:eastAsia="仿宋" w:cs="仿宋_GB2312"/>
                <w:sz w:val="24"/>
              </w:rPr>
              <w:t>湖北汉光科技股份有限公司采购</w:t>
            </w:r>
            <w:r>
              <w:rPr>
                <w:rFonts w:ascii="仿宋" w:hAnsi="仿宋" w:eastAsia="仿宋" w:cs="仿宋_GB2312"/>
                <w:sz w:val="24"/>
              </w:rPr>
              <w:t>。</w:t>
            </w:r>
          </w:p>
        </w:tc>
      </w:tr>
      <w:tr>
        <w:tblPrEx>
          <w:tblLayout w:type="fixed"/>
        </w:tblPrEx>
        <w:trPr>
          <w:trHeight w:val="600" w:hRule="atLeast"/>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1"/>
                <w:szCs w:val="21"/>
              </w:rPr>
            </w:pPr>
            <w:r>
              <w:rPr>
                <w:rFonts w:hint="eastAsia" w:ascii="黑体" w:hAnsi="宋体" w:eastAsia="黑体" w:cs="宋体"/>
                <w:kern w:val="0"/>
                <w:sz w:val="24"/>
              </w:rPr>
              <w:t>使用部门负责人签字</w:t>
            </w:r>
            <w:r>
              <w:rPr>
                <w:rFonts w:hint="eastAsia" w:ascii="宋体" w:hAnsi="宋体" w:cs="宋体"/>
                <w:kern w:val="0"/>
                <w:sz w:val="21"/>
                <w:szCs w:val="21"/>
              </w:rPr>
              <w:t>①</w:t>
            </w:r>
          </w:p>
          <w:p>
            <w:pPr>
              <w:widowControl/>
              <w:spacing w:line="240" w:lineRule="auto"/>
              <w:ind w:firstLine="0" w:firstLineChars="0"/>
              <w:jc w:val="left"/>
              <w:rPr>
                <w:rFonts w:ascii="黑体" w:hAnsi="宋体" w:eastAsia="黑体" w:cs="宋体"/>
                <w:kern w:val="0"/>
                <w:sz w:val="18"/>
                <w:szCs w:val="18"/>
              </w:rPr>
            </w:pPr>
            <w:r>
              <w:rPr>
                <w:rFonts w:hint="eastAsia" w:ascii="宋体" w:hAnsi="宋体" w:cs="宋体"/>
                <w:kern w:val="0"/>
                <w:sz w:val="18"/>
                <w:szCs w:val="18"/>
              </w:rPr>
              <w:t>（课题负责人/系统负责人或以上人员）</w:t>
            </w:r>
          </w:p>
        </w:tc>
        <w:tc>
          <w:tcPr>
            <w:tcW w:w="5265" w:type="dxa"/>
            <w:tcBorders>
              <w:top w:val="single" w:color="auto" w:sz="4" w:space="0"/>
              <w:left w:val="nil"/>
              <w:bottom w:val="single" w:color="auto" w:sz="4" w:space="0"/>
              <w:right w:val="single" w:color="auto" w:sz="4" w:space="0"/>
            </w:tcBorders>
            <w:vAlign w:val="bottom"/>
          </w:tcPr>
          <w:p>
            <w:pPr>
              <w:widowControl/>
              <w:spacing w:line="240" w:lineRule="auto"/>
              <w:ind w:firstLine="0" w:firstLineChars="0"/>
              <w:jc w:val="right"/>
              <w:rPr>
                <w:rFonts w:ascii="Times New Roman" w:hAnsi="Times New Roman"/>
                <w:kern w:val="0"/>
                <w:sz w:val="21"/>
                <w:szCs w:val="21"/>
              </w:rPr>
            </w:pPr>
            <w:r>
              <w:rPr>
                <w:rFonts w:hint="eastAsia" w:ascii="Times New Roman" w:hAnsi="Times New Roman"/>
                <w:kern w:val="0"/>
                <w:sz w:val="21"/>
                <w:szCs w:val="21"/>
              </w:rPr>
              <w:t>日期：   年</w:t>
            </w:r>
            <w:r>
              <w:rPr>
                <w:rFonts w:ascii="Times New Roman" w:hAnsi="Times New Roman"/>
                <w:kern w:val="0"/>
                <w:sz w:val="21"/>
                <w:szCs w:val="21"/>
              </w:rPr>
              <w:t xml:space="preserve">   </w:t>
            </w:r>
            <w:r>
              <w:rPr>
                <w:rFonts w:hint="eastAsia" w:ascii="Times New Roman" w:hAnsi="Times New Roman"/>
                <w:kern w:val="0"/>
                <w:sz w:val="21"/>
                <w:szCs w:val="21"/>
              </w:rPr>
              <w:t>月</w:t>
            </w:r>
            <w:r>
              <w:rPr>
                <w:rFonts w:ascii="Times New Roman" w:hAnsi="Times New Roman"/>
                <w:kern w:val="0"/>
                <w:sz w:val="21"/>
                <w:szCs w:val="21"/>
              </w:rPr>
              <w:t xml:space="preserve">   </w:t>
            </w:r>
            <w:r>
              <w:rPr>
                <w:rFonts w:hint="eastAsia" w:ascii="Times New Roman" w:hAnsi="Times New Roman"/>
                <w:kern w:val="0"/>
                <w:sz w:val="21"/>
                <w:szCs w:val="21"/>
              </w:rPr>
              <w:t>日</w:t>
            </w:r>
          </w:p>
        </w:tc>
      </w:tr>
      <w:tr>
        <w:tblPrEx>
          <w:tblLayout w:type="fixed"/>
        </w:tblPrEx>
        <w:trPr>
          <w:trHeight w:val="600" w:hRule="atLeast"/>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黑体" w:hAnsi="宋体" w:eastAsia="黑体" w:cs="宋体"/>
                <w:kern w:val="0"/>
                <w:sz w:val="24"/>
              </w:rPr>
            </w:pPr>
            <w:r>
              <w:rPr>
                <w:rFonts w:hint="eastAsia" w:ascii="黑体" w:hAnsi="宋体" w:eastAsia="黑体" w:cs="宋体"/>
                <w:kern w:val="0"/>
                <w:sz w:val="24"/>
              </w:rPr>
              <w:t>政府采购归口管理部门负责人签字②</w:t>
            </w:r>
          </w:p>
        </w:tc>
        <w:tc>
          <w:tcPr>
            <w:tcW w:w="5265" w:type="dxa"/>
            <w:tcBorders>
              <w:top w:val="single" w:color="auto" w:sz="4" w:space="0"/>
              <w:left w:val="nil"/>
              <w:bottom w:val="single" w:color="auto" w:sz="4" w:space="0"/>
              <w:right w:val="single" w:color="auto" w:sz="4" w:space="0"/>
            </w:tcBorders>
            <w:vAlign w:val="bottom"/>
          </w:tcPr>
          <w:p>
            <w:pPr>
              <w:widowControl/>
              <w:wordWrap w:val="0"/>
              <w:spacing w:line="240" w:lineRule="auto"/>
              <w:ind w:firstLine="0" w:firstLineChars="0"/>
              <w:jc w:val="right"/>
              <w:rPr>
                <w:rFonts w:ascii="Times New Roman" w:hAnsi="Times New Roman"/>
                <w:kern w:val="0"/>
                <w:sz w:val="21"/>
                <w:szCs w:val="21"/>
              </w:rPr>
            </w:pPr>
            <w:r>
              <w:rPr>
                <w:rFonts w:hint="eastAsia" w:ascii="Times New Roman" w:hAnsi="Times New Roman"/>
                <w:kern w:val="0"/>
                <w:sz w:val="21"/>
                <w:szCs w:val="21"/>
              </w:rPr>
              <w:t>日期：   年</w:t>
            </w:r>
            <w:r>
              <w:rPr>
                <w:rFonts w:ascii="Times New Roman" w:hAnsi="Times New Roman"/>
                <w:kern w:val="0"/>
                <w:sz w:val="21"/>
                <w:szCs w:val="21"/>
              </w:rPr>
              <w:t xml:space="preserve">   </w:t>
            </w:r>
            <w:r>
              <w:rPr>
                <w:rFonts w:hint="eastAsia" w:ascii="Times New Roman" w:hAnsi="Times New Roman"/>
                <w:kern w:val="0"/>
                <w:sz w:val="21"/>
                <w:szCs w:val="21"/>
              </w:rPr>
              <w:t>月</w:t>
            </w:r>
            <w:r>
              <w:rPr>
                <w:rFonts w:ascii="Times New Roman" w:hAnsi="Times New Roman"/>
                <w:kern w:val="0"/>
                <w:sz w:val="21"/>
                <w:szCs w:val="21"/>
              </w:rPr>
              <w:t xml:space="preserve">   </w:t>
            </w:r>
            <w:r>
              <w:rPr>
                <w:rFonts w:hint="eastAsia" w:ascii="Times New Roman" w:hAnsi="Times New Roman"/>
                <w:kern w:val="0"/>
                <w:sz w:val="21"/>
                <w:szCs w:val="21"/>
              </w:rPr>
              <w:t>日</w:t>
            </w:r>
          </w:p>
        </w:tc>
      </w:tr>
      <w:tr>
        <w:tblPrEx>
          <w:tblLayout w:type="fixed"/>
        </w:tblPrEx>
        <w:trPr>
          <w:trHeight w:val="600" w:hRule="atLeast"/>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黑体" w:hAnsi="宋体" w:eastAsia="黑体" w:cs="宋体"/>
                <w:kern w:val="0"/>
                <w:sz w:val="24"/>
              </w:rPr>
            </w:pPr>
            <w:r>
              <w:rPr>
                <w:rFonts w:hint="eastAsia" w:ascii="黑体" w:hAnsi="宋体" w:eastAsia="黑体" w:cs="宋体"/>
                <w:kern w:val="0"/>
                <w:sz w:val="24"/>
              </w:rPr>
              <w:t>财务部门负责人签字</w:t>
            </w:r>
            <w:r>
              <w:rPr>
                <w:rFonts w:hint="eastAsia" w:ascii="宋体" w:hAnsi="宋体" w:cs="宋体"/>
                <w:kern w:val="0"/>
                <w:sz w:val="21"/>
                <w:szCs w:val="21"/>
              </w:rPr>
              <w:t>③</w:t>
            </w:r>
          </w:p>
        </w:tc>
        <w:tc>
          <w:tcPr>
            <w:tcW w:w="5265" w:type="dxa"/>
            <w:tcBorders>
              <w:top w:val="single" w:color="auto" w:sz="4" w:space="0"/>
              <w:left w:val="nil"/>
              <w:bottom w:val="single" w:color="auto" w:sz="4" w:space="0"/>
              <w:right w:val="single" w:color="auto" w:sz="4" w:space="0"/>
            </w:tcBorders>
            <w:vAlign w:val="bottom"/>
          </w:tcPr>
          <w:p>
            <w:pPr>
              <w:widowControl/>
              <w:wordWrap w:val="0"/>
              <w:spacing w:line="240" w:lineRule="auto"/>
              <w:ind w:firstLine="0" w:firstLineChars="0"/>
              <w:jc w:val="right"/>
              <w:rPr>
                <w:rFonts w:ascii="Times New Roman" w:hAnsi="Times New Roman"/>
                <w:kern w:val="0"/>
                <w:sz w:val="21"/>
                <w:szCs w:val="21"/>
              </w:rPr>
            </w:pPr>
            <w:r>
              <w:rPr>
                <w:rFonts w:hint="eastAsia" w:ascii="Times New Roman" w:hAnsi="Times New Roman"/>
                <w:kern w:val="0"/>
                <w:sz w:val="21"/>
                <w:szCs w:val="21"/>
              </w:rPr>
              <w:t>日期：   年</w:t>
            </w:r>
            <w:r>
              <w:rPr>
                <w:rFonts w:ascii="Times New Roman" w:hAnsi="Times New Roman"/>
                <w:kern w:val="0"/>
                <w:sz w:val="21"/>
                <w:szCs w:val="21"/>
              </w:rPr>
              <w:t xml:space="preserve">   </w:t>
            </w:r>
            <w:r>
              <w:rPr>
                <w:rFonts w:hint="eastAsia" w:ascii="Times New Roman" w:hAnsi="Times New Roman"/>
                <w:kern w:val="0"/>
                <w:sz w:val="21"/>
                <w:szCs w:val="21"/>
              </w:rPr>
              <w:t>月</w:t>
            </w:r>
            <w:r>
              <w:rPr>
                <w:rFonts w:ascii="Times New Roman" w:hAnsi="Times New Roman"/>
                <w:kern w:val="0"/>
                <w:sz w:val="21"/>
                <w:szCs w:val="21"/>
              </w:rPr>
              <w:t xml:space="preserve">   </w:t>
            </w:r>
            <w:r>
              <w:rPr>
                <w:rFonts w:hint="eastAsia" w:ascii="Times New Roman" w:hAnsi="Times New Roman"/>
                <w:kern w:val="0"/>
                <w:sz w:val="21"/>
                <w:szCs w:val="21"/>
              </w:rPr>
              <w:t>日</w:t>
            </w:r>
          </w:p>
        </w:tc>
      </w:tr>
      <w:tr>
        <w:tblPrEx>
          <w:tblLayout w:type="fixed"/>
        </w:tblPrEx>
        <w:trPr>
          <w:trHeight w:val="600" w:hRule="atLeast"/>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18"/>
                <w:szCs w:val="18"/>
              </w:rPr>
            </w:pPr>
            <w:r>
              <w:rPr>
                <w:rFonts w:hint="eastAsia" w:ascii="黑体" w:hAnsi="宋体" w:eastAsia="黑体" w:cs="宋体"/>
                <w:kern w:val="0"/>
                <w:sz w:val="24"/>
              </w:rPr>
              <w:t>科研管理部门负责人签字</w:t>
            </w:r>
            <w:r>
              <w:rPr>
                <w:rFonts w:hint="eastAsia" w:ascii="宋体" w:hAnsi="宋体" w:cs="宋体"/>
                <w:kern w:val="0"/>
                <w:sz w:val="18"/>
                <w:szCs w:val="18"/>
              </w:rPr>
              <w:t>④</w:t>
            </w:r>
          </w:p>
          <w:p>
            <w:pPr>
              <w:widowControl/>
              <w:spacing w:line="240" w:lineRule="auto"/>
              <w:ind w:firstLine="0" w:firstLineChars="0"/>
              <w:jc w:val="left"/>
              <w:rPr>
                <w:rFonts w:ascii="黑体" w:hAnsi="宋体" w:eastAsia="黑体" w:cs="宋体"/>
                <w:kern w:val="0"/>
                <w:sz w:val="24"/>
              </w:rPr>
            </w:pPr>
            <w:r>
              <w:rPr>
                <w:rFonts w:hint="eastAsia" w:ascii="宋体" w:hAnsi="宋体" w:cs="宋体"/>
                <w:kern w:val="0"/>
                <w:sz w:val="18"/>
                <w:szCs w:val="18"/>
              </w:rPr>
              <w:t>（科研处或工程办）</w:t>
            </w:r>
          </w:p>
        </w:tc>
        <w:tc>
          <w:tcPr>
            <w:tcW w:w="5265" w:type="dxa"/>
            <w:tcBorders>
              <w:top w:val="single" w:color="auto" w:sz="4" w:space="0"/>
              <w:left w:val="nil"/>
              <w:bottom w:val="single" w:color="auto" w:sz="4" w:space="0"/>
              <w:right w:val="single" w:color="auto" w:sz="4" w:space="0"/>
            </w:tcBorders>
            <w:vAlign w:val="bottom"/>
          </w:tcPr>
          <w:p>
            <w:pPr>
              <w:widowControl/>
              <w:wordWrap w:val="0"/>
              <w:spacing w:line="240" w:lineRule="auto"/>
              <w:ind w:firstLine="0" w:firstLineChars="0"/>
              <w:jc w:val="right"/>
              <w:rPr>
                <w:rFonts w:ascii="Times New Roman" w:hAnsi="Times New Roman"/>
                <w:kern w:val="0"/>
                <w:sz w:val="21"/>
                <w:szCs w:val="21"/>
              </w:rPr>
            </w:pPr>
            <w:r>
              <w:rPr>
                <w:rFonts w:hint="eastAsia" w:ascii="Times New Roman" w:hAnsi="Times New Roman"/>
                <w:kern w:val="0"/>
                <w:sz w:val="21"/>
                <w:szCs w:val="21"/>
              </w:rPr>
              <w:t>日期：   年</w:t>
            </w:r>
            <w:r>
              <w:rPr>
                <w:rFonts w:ascii="Times New Roman" w:hAnsi="Times New Roman"/>
                <w:kern w:val="0"/>
                <w:sz w:val="21"/>
                <w:szCs w:val="21"/>
              </w:rPr>
              <w:t xml:space="preserve">   </w:t>
            </w:r>
            <w:r>
              <w:rPr>
                <w:rFonts w:hint="eastAsia" w:ascii="Times New Roman" w:hAnsi="Times New Roman"/>
                <w:kern w:val="0"/>
                <w:sz w:val="21"/>
                <w:szCs w:val="21"/>
              </w:rPr>
              <w:t>月</w:t>
            </w:r>
            <w:r>
              <w:rPr>
                <w:rFonts w:ascii="Times New Roman" w:hAnsi="Times New Roman"/>
                <w:kern w:val="0"/>
                <w:sz w:val="21"/>
                <w:szCs w:val="21"/>
              </w:rPr>
              <w:t xml:space="preserve">   </w:t>
            </w:r>
            <w:r>
              <w:rPr>
                <w:rFonts w:hint="eastAsia" w:ascii="Times New Roman" w:hAnsi="Times New Roman"/>
                <w:kern w:val="0"/>
                <w:sz w:val="21"/>
                <w:szCs w:val="21"/>
              </w:rPr>
              <w:t>日</w:t>
            </w:r>
          </w:p>
        </w:tc>
      </w:tr>
    </w:tbl>
    <w:p>
      <w:pPr>
        <w:widowControl/>
        <w:spacing w:line="240" w:lineRule="auto"/>
        <w:ind w:firstLine="0" w:firstLineChars="0"/>
        <w:jc w:val="left"/>
        <w:rPr>
          <w:rFonts w:ascii="宋体" w:hAnsi="宋体" w:cs="宋体"/>
          <w:kern w:val="0"/>
          <w:sz w:val="18"/>
          <w:szCs w:val="18"/>
        </w:rPr>
      </w:pPr>
      <w:r>
        <w:rPr>
          <w:rFonts w:hint="eastAsia" w:ascii="宋体" w:hAnsi="宋体" w:cs="宋体"/>
          <w:kern w:val="0"/>
          <w:sz w:val="18"/>
          <w:szCs w:val="18"/>
        </w:rPr>
        <w:t>说明：1.100万≤金额＜200万的采购项目，需要直接采用单一来源采购方式的，需在采购前填写此表。</w:t>
      </w:r>
    </w:p>
    <w:p>
      <w:pPr>
        <w:widowControl/>
        <w:spacing w:line="240" w:lineRule="auto"/>
        <w:ind w:firstLine="540" w:firstLineChars="300"/>
        <w:jc w:val="left"/>
        <w:rPr>
          <w:rFonts w:ascii="宋体" w:hAnsi="宋体" w:cs="宋体"/>
          <w:kern w:val="0"/>
          <w:sz w:val="18"/>
          <w:szCs w:val="18"/>
        </w:rPr>
      </w:pPr>
      <w:r>
        <w:rPr>
          <w:rFonts w:hint="eastAsia" w:ascii="宋体" w:hAnsi="宋体" w:cs="宋体"/>
          <w:kern w:val="0"/>
          <w:sz w:val="18"/>
          <w:szCs w:val="18"/>
        </w:rPr>
        <w:t>2.各部门职责：①使用部门负责提出采购需求情况，并提供满足需要的供应商情况；②政府采购归口管理部门负责审核政府采购预算、政府采购方式、变更政府采购方式申请材料；③财务部门负责审核采购项目资金到位情况；④科研管理部门负责审核采购项目必要性、采购需求合理性、供应商资格条件合理性、满足需要的供应商情况（详见《采购需求论证及市场调研情况表》）。各参与会商部门人员共同提出会商意见。</w:t>
      </w:r>
    </w:p>
    <w:p>
      <w:pPr>
        <w:widowControl/>
        <w:spacing w:line="240" w:lineRule="auto"/>
        <w:ind w:firstLine="540" w:firstLineChars="300"/>
        <w:jc w:val="left"/>
      </w:pPr>
      <w:r>
        <w:rPr>
          <w:rFonts w:hint="eastAsia" w:ascii="宋体" w:hAnsi="宋体" w:cs="宋体"/>
          <w:kern w:val="0"/>
          <w:sz w:val="18"/>
          <w:szCs w:val="18"/>
        </w:rPr>
        <w:t>3.此表除相关部门负责人签字外，其他内容均用计算机打印。</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Calibri" w:hAnsi="Calibri" w:eastAsia="宋体" w:cs="Times New Roman"/>
      <w:kern w:val="2"/>
      <w:sz w:val="28"/>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uiPriority w:val="99"/>
    <w:rPr>
      <w:rFonts w:ascii="Calibri" w:hAnsi="Calibri" w:eastAsia="宋体" w:cs="Times New Roman"/>
      <w:sz w:val="18"/>
      <w:szCs w:val="18"/>
    </w:rPr>
  </w:style>
  <w:style w:type="character" w:customStyle="1" w:styleId="7">
    <w:name w:val="页脚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875</Characters>
  <Lines>7</Lines>
  <Paragraphs>2</Paragraphs>
  <TotalTime>0</TotalTime>
  <ScaleCrop>false</ScaleCrop>
  <LinksUpToDate>false</LinksUpToDate>
  <CharactersWithSpaces>1026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2023-12-01T11:51:00Z</dcterms:created>
  <dc:creator>李雪</dc:creator>
  <cp:lastModifiedBy>iPhone</cp:lastModifiedBy>
  <dcterms:modified xsi:type="dcterms:W3CDTF">2023-12-04T09:01:45Z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D48B3F52370966BB97236D653BB2967E_31</vt:lpwstr>
  </property>
  <property fmtid="{D5CDD505-2E9C-101B-9397-08002B2CF9AE}" pid="3" name="KSOProductBuildVer">
    <vt:lpwstr>2052-12.6.1</vt:lpwstr>
  </property>
</Properties>
</file>